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02EE1A">
      <w:pPr>
        <w:jc w:val="center"/>
        <w:rPr>
          <w:rFonts w:hint="eastAsia" w:ascii="仿宋_GB2312" w:hAnsi="Verdana" w:eastAsia="仿宋_GB2312" w:cs="宋体"/>
          <w:color w:val="000000"/>
          <w:kern w:val="0"/>
          <w:sz w:val="32"/>
          <w:szCs w:val="32"/>
        </w:rPr>
      </w:pPr>
      <w:r>
        <w:rPr>
          <w:rFonts w:hint="eastAsia" w:ascii="方正小标宋简体" w:hAnsi="方正小标宋简体" w:eastAsia="方正小标宋简体" w:cs="方正小标宋简体"/>
          <w:color w:val="FF0000"/>
          <w:spacing w:val="-20"/>
          <w:w w:val="64"/>
          <w:sz w:val="140"/>
          <w:szCs w:val="140"/>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2442210</wp:posOffset>
                </wp:positionV>
                <wp:extent cx="5715000" cy="0"/>
                <wp:effectExtent l="0" t="13970" r="0" b="24130"/>
                <wp:wrapNone/>
                <wp:docPr id="2" name="直接连接符 2"/>
                <wp:cNvGraphicFramePr/>
                <a:graphic xmlns:a="http://schemas.openxmlformats.org/drawingml/2006/main">
                  <a:graphicData uri="http://schemas.microsoft.com/office/word/2010/wordprocessingShape">
                    <wps:wsp>
                      <wps:cNvCnPr/>
                      <wps:spPr>
                        <a:xfrm>
                          <a:off x="0" y="0"/>
                          <a:ext cx="5715000" cy="0"/>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192.3pt;height:0pt;width:450pt;z-index:251660288;mso-width-relative:page;mso-height-relative:page;" filled="f" stroked="t" coordsize="21600,21600" o:gfxdata="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u4YOz9UAAAAIAQAADwAAAAAAAAABACAAAAAiAAAAZHJzL2Rvd25yZXYueG1sUEsBAhQA&#10;FAAAAAgAh07iQO6MHyb1AQAA5QMAAA4AAAAAAAAAAQAgAAAAJAEAAGRycy9lMm9Eb2MueG1sUEsF&#10;BgAAAAAGAAYAWQEAAIsFAAAAAA==&#10;">
                <v:fill on="f" focussize="0,0"/>
                <v:stroke weight="2.25pt" color="#FF0000" joinstyle="round"/>
                <v:imagedata o:title=""/>
                <o:lock v:ext="edit" aspectratio="f"/>
              </v:line>
            </w:pict>
          </mc:Fallback>
        </mc:AlternateContent>
      </w:r>
      <w:r>
        <w:rPr>
          <w:rFonts w:hint="eastAsia" w:ascii="方正小标宋简体" w:hAnsi="方正小标宋简体" w:eastAsia="方正小标宋简体" w:cs="方正小标宋简体"/>
          <w:color w:val="FF0000"/>
          <w:spacing w:val="-20"/>
          <w:w w:val="64"/>
          <w:sz w:val="140"/>
          <w:szCs w:val="140"/>
        </w:rPr>
        <w:t>滕州市应急管理局文件</w:t>
      </w:r>
    </w:p>
    <w:p w14:paraId="42BE2179">
      <w:pPr>
        <w:tabs>
          <w:tab w:val="left" w:pos="2550"/>
        </w:tabs>
        <w:adjustRightInd w:val="0"/>
        <w:snapToGrid w:val="0"/>
        <w:spacing w:line="240" w:lineRule="exact"/>
        <w:jc w:val="center"/>
        <w:rPr>
          <w:rFonts w:ascii="仿宋_GB2312" w:hAnsi="华文中宋"/>
          <w:color w:val="000000"/>
          <w:spacing w:val="-8"/>
          <w:szCs w:val="44"/>
        </w:rPr>
      </w:pPr>
    </w:p>
    <w:p w14:paraId="665B5DBF">
      <w:pPr>
        <w:widowControl/>
        <w:spacing w:line="600" w:lineRule="exact"/>
        <w:jc w:val="center"/>
        <w:rPr>
          <w:rFonts w:hint="eastAsia" w:ascii="仿宋_GB2312" w:hAnsi="Verdana" w:eastAsia="仿宋_GB2312" w:cs="宋体"/>
          <w:color w:val="000000"/>
          <w:kern w:val="0"/>
          <w:sz w:val="32"/>
          <w:szCs w:val="32"/>
        </w:rPr>
      </w:pPr>
      <w:r>
        <w:rPr>
          <w:rFonts w:hint="eastAsia" w:ascii="仿宋_GB2312" w:hAnsi="Verdana" w:eastAsia="仿宋_GB2312" w:cs="宋体"/>
          <w:color w:val="000000"/>
          <w:kern w:val="0"/>
          <w:sz w:val="32"/>
          <w:szCs w:val="32"/>
        </w:rPr>
        <w:t>滕</w:t>
      </w:r>
      <w:r>
        <w:rPr>
          <w:rFonts w:hint="eastAsia" w:ascii="仿宋_GB2312" w:hAnsi="Verdana" w:eastAsia="仿宋_GB2312" w:cs="宋体"/>
          <w:color w:val="000000"/>
          <w:kern w:val="0"/>
          <w:sz w:val="32"/>
          <w:szCs w:val="32"/>
          <w:lang w:eastAsia="zh-CN"/>
        </w:rPr>
        <w:t>应急</w:t>
      </w:r>
      <w:r>
        <w:rPr>
          <w:rFonts w:hint="eastAsia" w:ascii="仿宋_GB2312" w:hAnsi="Verdana" w:eastAsia="仿宋_GB2312" w:cs="宋体"/>
          <w:color w:val="000000"/>
          <w:kern w:val="0"/>
          <w:sz w:val="32"/>
          <w:szCs w:val="32"/>
        </w:rPr>
        <w:t>发〔20</w:t>
      </w:r>
      <w:r>
        <w:rPr>
          <w:rFonts w:hint="eastAsia" w:ascii="仿宋_GB2312" w:hAnsi="Verdana" w:eastAsia="仿宋_GB2312" w:cs="宋体"/>
          <w:color w:val="000000"/>
          <w:kern w:val="0"/>
          <w:sz w:val="32"/>
          <w:szCs w:val="32"/>
          <w:lang w:val="en-US" w:eastAsia="zh-CN"/>
        </w:rPr>
        <w:t>25</w:t>
      </w:r>
      <w:r>
        <w:rPr>
          <w:rFonts w:hint="eastAsia" w:ascii="仿宋_GB2312" w:hAnsi="Verdana" w:eastAsia="仿宋_GB2312" w:cs="宋体"/>
          <w:color w:val="000000"/>
          <w:kern w:val="0"/>
          <w:sz w:val="32"/>
          <w:szCs w:val="32"/>
        </w:rPr>
        <w:t>〕</w:t>
      </w:r>
      <w:r>
        <w:rPr>
          <w:rFonts w:hint="eastAsia" w:ascii="仿宋_GB2312" w:hAnsi="Verdana" w:eastAsia="仿宋_GB2312" w:cs="宋体"/>
          <w:color w:val="000000"/>
          <w:kern w:val="0"/>
          <w:sz w:val="32"/>
          <w:szCs w:val="32"/>
          <w:lang w:val="en-US" w:eastAsia="zh-CN"/>
        </w:rPr>
        <w:t>5</w:t>
      </w:r>
      <w:bookmarkStart w:id="0" w:name="_GoBack"/>
      <w:bookmarkEnd w:id="0"/>
      <w:r>
        <w:rPr>
          <w:rFonts w:hint="eastAsia" w:ascii="仿宋_GB2312" w:hAnsi="Verdana" w:eastAsia="仿宋_GB2312" w:cs="宋体"/>
          <w:color w:val="000000"/>
          <w:kern w:val="0"/>
          <w:sz w:val="32"/>
          <w:szCs w:val="32"/>
        </w:rPr>
        <w:t>号</w:t>
      </w:r>
    </w:p>
    <w:p w14:paraId="39867E04">
      <w:pPr>
        <w:keepNext w:val="0"/>
        <w:keepLines w:val="0"/>
        <w:pageBreakBefore w:val="0"/>
        <w:kinsoku/>
        <w:wordWrap/>
        <w:overflowPunct/>
        <w:topLinePunct w:val="0"/>
        <w:autoSpaceDE/>
        <w:autoSpaceDN/>
        <w:bidi w:val="0"/>
        <w:adjustRightInd/>
        <w:snapToGrid/>
        <w:spacing w:line="600" w:lineRule="exact"/>
        <w:textAlignment w:val="auto"/>
        <w:rPr>
          <w:rFonts w:ascii="Arial"/>
          <w:sz w:val="21"/>
        </w:rPr>
      </w:pPr>
    </w:p>
    <w:p w14:paraId="12FFA82C">
      <w:pPr>
        <w:keepNext w:val="0"/>
        <w:keepLines w:val="0"/>
        <w:pageBreakBefore w:val="0"/>
        <w:kinsoku/>
        <w:wordWrap/>
        <w:overflowPunct/>
        <w:topLinePunct w:val="0"/>
        <w:autoSpaceDE/>
        <w:autoSpaceDN/>
        <w:bidi w:val="0"/>
        <w:adjustRightInd/>
        <w:snapToGrid/>
        <w:spacing w:line="600" w:lineRule="exact"/>
        <w:textAlignment w:val="auto"/>
        <w:rPr>
          <w:rFonts w:ascii="Arial"/>
          <w:sz w:val="21"/>
        </w:rPr>
      </w:pPr>
    </w:p>
    <w:p w14:paraId="5E8BC007">
      <w:pPr>
        <w:keepNext w:val="0"/>
        <w:keepLines w:val="0"/>
        <w:pageBreakBefore w:val="0"/>
        <w:kinsoku/>
        <w:wordWrap/>
        <w:overflowPunct/>
        <w:topLinePunct w:val="0"/>
        <w:autoSpaceDE/>
        <w:autoSpaceDN/>
        <w:bidi w:val="0"/>
        <w:adjustRightInd/>
        <w:snapToGrid/>
        <w:spacing w:line="600" w:lineRule="exact"/>
        <w:textAlignment w:val="auto"/>
        <w:rPr>
          <w:rFonts w:ascii="Arial"/>
          <w:sz w:val="44"/>
          <w:szCs w:val="44"/>
        </w:rPr>
      </w:pPr>
    </w:p>
    <w:p w14:paraId="1EF2607D">
      <w:pPr>
        <w:keepNext w:val="0"/>
        <w:keepLines w:val="0"/>
        <w:pageBreakBefore w:val="0"/>
        <w:kinsoku/>
        <w:wordWrap/>
        <w:overflowPunct/>
        <w:topLinePunct w:val="0"/>
        <w:autoSpaceDE/>
        <w:autoSpaceDN/>
        <w:bidi w:val="0"/>
        <w:adjustRightInd/>
        <w:snapToGrid/>
        <w:spacing w:before="76" w:line="60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pacing w:val="-3"/>
          <w:sz w:val="44"/>
          <w:szCs w:val="44"/>
        </w:rPr>
        <w:t>关于印发2025年全市防震减灾救灾工作</w:t>
      </w:r>
      <w:r>
        <w:rPr>
          <w:rFonts w:hint="eastAsia" w:ascii="方正小标宋简体" w:hAnsi="方正小标宋简体" w:eastAsia="方正小标宋简体" w:cs="方正小标宋简体"/>
          <w:b w:val="0"/>
          <w:bCs w:val="0"/>
          <w:spacing w:val="-16"/>
          <w:sz w:val="44"/>
          <w:szCs w:val="44"/>
        </w:rPr>
        <w:t>要点的通知</w:t>
      </w:r>
    </w:p>
    <w:p w14:paraId="2CEDC55A">
      <w:pPr>
        <w:keepNext w:val="0"/>
        <w:keepLines w:val="0"/>
        <w:pageBreakBefore w:val="0"/>
        <w:widowControl/>
        <w:shd w:val="clear" w:color="auto" w:fill="FFFFFF"/>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kern w:val="0"/>
          <w:sz w:val="44"/>
          <w:szCs w:val="44"/>
          <w:lang w:val="en-US" w:eastAsia="zh-CN"/>
        </w:rPr>
      </w:pPr>
    </w:p>
    <w:p w14:paraId="107FF041">
      <w:pPr>
        <w:keepNext w:val="0"/>
        <w:keepLines w:val="0"/>
        <w:pageBreakBefore w:val="0"/>
        <w:widowControl/>
        <w:shd w:val="clear" w:color="auto" w:fill="FFFFFF"/>
        <w:kinsoku/>
        <w:wordWrap/>
        <w:overflowPunct/>
        <w:topLinePunct w:val="0"/>
        <w:autoSpaceDE/>
        <w:autoSpaceDN/>
        <w:bidi w:val="0"/>
        <w:adjustRightInd/>
        <w:snapToGrid/>
        <w:spacing w:line="600" w:lineRule="exact"/>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各镇（街）应急救援保障中心、局有关科室</w:t>
      </w:r>
      <w:r>
        <w:rPr>
          <w:rFonts w:hint="eastAsia" w:ascii="仿宋_GB2312" w:hAnsi="仿宋_GB2312" w:eastAsia="仿宋_GB2312" w:cs="仿宋_GB2312"/>
          <w:kern w:val="0"/>
          <w:sz w:val="32"/>
          <w:szCs w:val="32"/>
        </w:rPr>
        <w:t>：</w:t>
      </w:r>
    </w:p>
    <w:p w14:paraId="467949EB">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22"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为做好2025年全市防震减灾救灾工作，现将《2025年全市防震减灾救灾工作要点》印发给你们，请遵照执行。</w:t>
      </w:r>
    </w:p>
    <w:p w14:paraId="039E0804">
      <w:pPr>
        <w:pStyle w:val="9"/>
        <w:keepNext w:val="0"/>
        <w:keepLines w:val="0"/>
        <w:pageBreakBefore w:val="0"/>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仿宋_GB2312" w:hAnsi="仿宋_GB2312" w:eastAsia="仿宋_GB2312" w:cs="仿宋_GB2312"/>
          <w:kern w:val="0"/>
          <w:sz w:val="32"/>
          <w:szCs w:val="32"/>
          <w:lang w:val="en-US" w:eastAsia="zh-CN"/>
        </w:rPr>
      </w:pPr>
    </w:p>
    <w:p w14:paraId="1730D5C8">
      <w:pPr>
        <w:pStyle w:val="9"/>
        <w:keepNext w:val="0"/>
        <w:keepLines w:val="0"/>
        <w:pageBreakBefore w:val="0"/>
        <w:kinsoku/>
        <w:wordWrap/>
        <w:overflowPunct/>
        <w:topLinePunct w:val="0"/>
        <w:autoSpaceDE/>
        <w:autoSpaceDN/>
        <w:bidi w:val="0"/>
        <w:adjustRightInd/>
        <w:snapToGrid/>
        <w:spacing w:after="0" w:line="600" w:lineRule="exact"/>
        <w:jc w:val="right"/>
        <w:textAlignment w:val="auto"/>
        <w:rPr>
          <w:rFonts w:hint="eastAsia" w:ascii="仿宋_GB2312" w:hAnsi="仿宋_GB2312" w:eastAsia="仿宋_GB2312" w:cs="仿宋_GB2312"/>
          <w:kern w:val="0"/>
          <w:sz w:val="32"/>
          <w:szCs w:val="32"/>
          <w:lang w:val="en-US" w:eastAsia="zh-CN"/>
        </w:rPr>
      </w:pPr>
    </w:p>
    <w:p w14:paraId="694DDDBA">
      <w:pPr>
        <w:pStyle w:val="9"/>
        <w:keepNext w:val="0"/>
        <w:keepLines w:val="0"/>
        <w:pageBreakBefore w:val="0"/>
        <w:kinsoku/>
        <w:wordWrap/>
        <w:overflowPunct/>
        <w:topLinePunct w:val="0"/>
        <w:autoSpaceDE/>
        <w:autoSpaceDN/>
        <w:bidi w:val="0"/>
        <w:adjustRightInd/>
        <w:snapToGrid/>
        <w:spacing w:after="0" w:line="600" w:lineRule="exact"/>
        <w:jc w:val="center"/>
        <w:textAlignment w:val="auto"/>
        <w:rPr>
          <w:rFonts w:hint="default"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 xml:space="preserve">                滕州市应急管理局</w:t>
      </w:r>
    </w:p>
    <w:p w14:paraId="1E63D05D">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4976" w:firstLineChars="16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20</w:t>
      </w:r>
      <w:r>
        <w:rPr>
          <w:rFonts w:ascii="仿宋_GB2312" w:hAnsi="仿宋_GB2312" w:eastAsia="仿宋_GB2312" w:cs="仿宋_GB2312"/>
          <w:kern w:val="0"/>
          <w:sz w:val="32"/>
          <w:szCs w:val="32"/>
        </w:rPr>
        <w:t>2</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年</w:t>
      </w: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rPr>
        <w:t>月</w:t>
      </w: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rPr>
        <w:t>日</w:t>
      </w:r>
    </w:p>
    <w:p w14:paraId="5A807282">
      <w:pPr>
        <w:keepNext w:val="0"/>
        <w:keepLines w:val="0"/>
        <w:pageBreakBefore w:val="0"/>
        <w:kinsoku/>
        <w:wordWrap/>
        <w:overflowPunct/>
        <w:topLinePunct w:val="0"/>
        <w:autoSpaceDE/>
        <w:autoSpaceDN/>
        <w:bidi w:val="0"/>
        <w:adjustRightInd/>
        <w:snapToGrid/>
        <w:spacing w:line="600" w:lineRule="exact"/>
        <w:textAlignment w:val="auto"/>
      </w:pPr>
    </w:p>
    <w:p w14:paraId="2E65C85C">
      <w:pPr>
        <w:keepNext w:val="0"/>
        <w:keepLines w:val="0"/>
        <w:pageBreakBefore w:val="0"/>
        <w:kinsoku/>
        <w:wordWrap/>
        <w:overflowPunct/>
        <w:topLinePunct w:val="0"/>
        <w:autoSpaceDE/>
        <w:autoSpaceDN/>
        <w:bidi w:val="0"/>
        <w:adjustRightInd/>
        <w:snapToGrid/>
        <w:spacing w:line="600" w:lineRule="exact"/>
        <w:textAlignment w:val="auto"/>
      </w:pPr>
    </w:p>
    <w:p w14:paraId="503BD2EF">
      <w:pPr>
        <w:pStyle w:val="4"/>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方正小标宋简体" w:hAnsi="方正小标宋简体" w:eastAsia="方正小标宋简体" w:cs="方正小标宋简体"/>
          <w:b w:val="0"/>
          <w:bCs w:val="0"/>
          <w:sz w:val="44"/>
          <w:szCs w:val="44"/>
        </w:rPr>
      </w:pPr>
    </w:p>
    <w:p w14:paraId="048F484F">
      <w:pPr>
        <w:pStyle w:val="4"/>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2025年全市防震减灾救灾工作要点</w:t>
      </w:r>
    </w:p>
    <w:p w14:paraId="3C6490DD">
      <w:pPr>
        <w:pStyle w:val="4"/>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val="0"/>
          <w:bCs w:val="0"/>
          <w:sz w:val="44"/>
          <w:szCs w:val="44"/>
        </w:rPr>
      </w:pPr>
    </w:p>
    <w:p w14:paraId="50AE78C9">
      <w:pPr>
        <w:pStyle w:val="4"/>
        <w:keepNext w:val="0"/>
        <w:keepLines w:val="0"/>
        <w:pageBreakBefore w:val="0"/>
        <w:widowControl w:val="0"/>
        <w:kinsoku/>
        <w:wordWrap/>
        <w:overflowPunct/>
        <w:topLinePunct w:val="0"/>
        <w:autoSpaceDE/>
        <w:autoSpaceDN/>
        <w:bidi w:val="0"/>
        <w:adjustRightInd/>
        <w:snapToGrid/>
        <w:spacing w:line="580" w:lineRule="exact"/>
        <w:ind w:firstLine="62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全面贯彻党的二十大和二十届三中全会精神，深入学习贯彻习近平总书记关于应急管理重要论述和防震减灾救灾重要指示批示精神，坚定落实习近平总书记视察山东重要讲话精神，做好2025年度全市防震减灾救灾工作，推动</w:t>
      </w:r>
      <w:r>
        <w:rPr>
          <w:rFonts w:hint="eastAsia" w:ascii="仿宋_GB2312" w:hAnsi="仿宋_GB2312" w:eastAsia="仿宋_GB2312" w:cs="仿宋_GB2312"/>
          <w:sz w:val="32"/>
          <w:szCs w:val="32"/>
          <w:lang w:val="en-US" w:eastAsia="zh-CN"/>
        </w:rPr>
        <w:t>我市</w:t>
      </w:r>
      <w:r>
        <w:rPr>
          <w:rFonts w:hint="eastAsia" w:ascii="仿宋_GB2312" w:hAnsi="仿宋_GB2312" w:eastAsia="仿宋_GB2312" w:cs="仿宋_GB2312"/>
          <w:sz w:val="32"/>
          <w:szCs w:val="32"/>
        </w:rPr>
        <w:t>防震减灾持续“走在前列”,以高水平地震安全服务保障高质量发展，制定年度防震减灾救灾工作要点如下。</w:t>
      </w:r>
    </w:p>
    <w:p w14:paraId="0447722D">
      <w:pPr>
        <w:pStyle w:val="4"/>
        <w:keepNext w:val="0"/>
        <w:keepLines w:val="0"/>
        <w:pageBreakBefore w:val="0"/>
        <w:widowControl w:val="0"/>
        <w:kinsoku/>
        <w:wordWrap/>
        <w:overflowPunct/>
        <w:topLinePunct w:val="0"/>
        <w:autoSpaceDE/>
        <w:autoSpaceDN/>
        <w:bidi w:val="0"/>
        <w:adjustRightInd/>
        <w:snapToGrid/>
        <w:spacing w:line="580" w:lineRule="exact"/>
        <w:ind w:firstLine="622" w:firstLineChars="200"/>
        <w:textAlignment w:val="auto"/>
        <w:rPr>
          <w:rFonts w:hint="eastAsia" w:ascii="黑体" w:hAnsi="黑体" w:eastAsia="黑体" w:cs="黑体"/>
          <w:sz w:val="32"/>
          <w:szCs w:val="32"/>
        </w:rPr>
      </w:pPr>
      <w:r>
        <w:rPr>
          <w:rFonts w:hint="eastAsia" w:ascii="黑体" w:hAnsi="黑体" w:eastAsia="黑体" w:cs="黑体"/>
          <w:sz w:val="32"/>
          <w:szCs w:val="32"/>
        </w:rPr>
        <w:t>一、健全体制机制，扛牢属地责任</w:t>
      </w:r>
    </w:p>
    <w:p w14:paraId="3DDB9383">
      <w:pPr>
        <w:pStyle w:val="4"/>
        <w:keepNext w:val="0"/>
        <w:keepLines w:val="0"/>
        <w:pageBreakBefore w:val="0"/>
        <w:widowControl w:val="0"/>
        <w:kinsoku/>
        <w:wordWrap/>
        <w:overflowPunct/>
        <w:topLinePunct w:val="0"/>
        <w:autoSpaceDE/>
        <w:autoSpaceDN/>
        <w:bidi w:val="0"/>
        <w:adjustRightInd/>
        <w:snapToGrid/>
        <w:spacing w:line="580" w:lineRule="exact"/>
        <w:ind w:firstLine="62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1.提高政治站位。</w:t>
      </w:r>
      <w:r>
        <w:rPr>
          <w:rFonts w:hint="eastAsia" w:ascii="仿宋_GB2312" w:hAnsi="仿宋_GB2312" w:eastAsia="仿宋_GB2312" w:cs="仿宋_GB2312"/>
          <w:sz w:val="32"/>
          <w:szCs w:val="32"/>
        </w:rPr>
        <w:t>要深入贯彻党的二十届三中全会精神，以回答好习近平总书记“大震之问”为引领，全面落实全省应急管理工作会议、全省地震局长会议和市委、市政府部署，以时时放心不下的责任感和事事心中有底的行动力，推动进一步全面深化改革，坚决抓好防范化解地震灾害风险隐患各项工作。</w:t>
      </w:r>
    </w:p>
    <w:p w14:paraId="57C5F046">
      <w:pPr>
        <w:pStyle w:val="4"/>
        <w:keepNext w:val="0"/>
        <w:keepLines w:val="0"/>
        <w:pageBreakBefore w:val="0"/>
        <w:widowControl w:val="0"/>
        <w:kinsoku/>
        <w:wordWrap/>
        <w:overflowPunct/>
        <w:topLinePunct w:val="0"/>
        <w:autoSpaceDE/>
        <w:autoSpaceDN/>
        <w:bidi w:val="0"/>
        <w:adjustRightInd/>
        <w:snapToGrid/>
        <w:spacing w:line="580" w:lineRule="exact"/>
        <w:ind w:firstLine="62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2.健全工作体制。</w:t>
      </w:r>
      <w:r>
        <w:rPr>
          <w:rFonts w:hint="eastAsia" w:ascii="仿宋_GB2312" w:hAnsi="仿宋_GB2312" w:eastAsia="仿宋_GB2312" w:cs="仿宋_GB2312"/>
          <w:sz w:val="32"/>
          <w:szCs w:val="32"/>
          <w:lang w:val="en-US" w:eastAsia="zh-CN"/>
        </w:rPr>
        <w:t>市及各镇街</w:t>
      </w:r>
      <w:r>
        <w:rPr>
          <w:rFonts w:hint="eastAsia" w:ascii="仿宋_GB2312" w:hAnsi="仿宋_GB2312" w:eastAsia="仿宋_GB2312" w:cs="仿宋_GB2312"/>
          <w:sz w:val="32"/>
          <w:szCs w:val="32"/>
        </w:rPr>
        <w:t>要主动</w:t>
      </w:r>
      <w:r>
        <w:rPr>
          <w:rFonts w:hint="eastAsia" w:ascii="仿宋_GB2312" w:hAnsi="仿宋_GB2312" w:eastAsia="仿宋_GB2312" w:cs="仿宋_GB2312"/>
          <w:sz w:val="32"/>
          <w:szCs w:val="32"/>
          <w:lang w:eastAsia="zh-CN"/>
        </w:rPr>
        <w:t>向党委政府</w:t>
      </w:r>
      <w:r>
        <w:rPr>
          <w:rFonts w:hint="eastAsia" w:ascii="仿宋_GB2312" w:hAnsi="仿宋_GB2312" w:eastAsia="仿宋_GB2312" w:cs="仿宋_GB2312"/>
          <w:sz w:val="32"/>
          <w:szCs w:val="32"/>
        </w:rPr>
        <w:t>全面汇报防震减灾救灾工作，落实上级关于健全完善防震减灾救灾体制机制部署，着力推动防震减灾救灾工作“四个纳入”,落实防震减灾工作职责赋能清单要求。</w:t>
      </w:r>
    </w:p>
    <w:p w14:paraId="5CCC8F3C">
      <w:pPr>
        <w:pStyle w:val="4"/>
        <w:keepNext w:val="0"/>
        <w:keepLines w:val="0"/>
        <w:pageBreakBefore w:val="0"/>
        <w:widowControl w:val="0"/>
        <w:kinsoku/>
        <w:wordWrap/>
        <w:overflowPunct/>
        <w:topLinePunct w:val="0"/>
        <w:autoSpaceDE/>
        <w:autoSpaceDN/>
        <w:bidi w:val="0"/>
        <w:adjustRightInd/>
        <w:snapToGrid/>
        <w:spacing w:line="580" w:lineRule="exact"/>
        <w:ind w:firstLine="62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3.完善工作机制。</w:t>
      </w:r>
      <w:r>
        <w:rPr>
          <w:rFonts w:hint="eastAsia" w:ascii="仿宋_GB2312" w:hAnsi="仿宋_GB2312" w:eastAsia="仿宋_GB2312" w:cs="仿宋_GB2312"/>
          <w:sz w:val="32"/>
          <w:szCs w:val="32"/>
        </w:rPr>
        <w:t>市应急局牵头修订市抗震救灾指挥部(防震减灾专项小组)及其办公室工作规则、完善工作制度，召开市防震减灾专项小组会议，部署工作任务，落实责任分工。</w:t>
      </w:r>
    </w:p>
    <w:p w14:paraId="1348D373">
      <w:pPr>
        <w:pStyle w:val="4"/>
        <w:keepNext w:val="0"/>
        <w:keepLines w:val="0"/>
        <w:pageBreakBefore w:val="0"/>
        <w:widowControl w:val="0"/>
        <w:kinsoku/>
        <w:wordWrap/>
        <w:overflowPunct/>
        <w:topLinePunct w:val="0"/>
        <w:autoSpaceDE/>
        <w:autoSpaceDN/>
        <w:bidi w:val="0"/>
        <w:adjustRightInd/>
        <w:snapToGrid/>
        <w:spacing w:line="580" w:lineRule="exact"/>
        <w:ind w:firstLine="62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4.抓好规划实施编制。</w:t>
      </w:r>
      <w:r>
        <w:rPr>
          <w:rFonts w:hint="eastAsia" w:ascii="仿宋_GB2312" w:hAnsi="仿宋_GB2312" w:eastAsia="仿宋_GB2312" w:cs="仿宋_GB2312"/>
          <w:sz w:val="32"/>
          <w:szCs w:val="32"/>
        </w:rPr>
        <w:t>推进</w:t>
      </w:r>
      <w:r>
        <w:rPr>
          <w:rFonts w:hint="eastAsia" w:ascii="仿宋_GB2312" w:hAnsi="仿宋_GB2312" w:eastAsia="仿宋_GB2312" w:cs="仿宋_GB2312"/>
          <w:sz w:val="32"/>
          <w:szCs w:val="32"/>
          <w:lang w:val="en-US" w:eastAsia="zh-CN"/>
        </w:rPr>
        <w:t>我市</w:t>
      </w:r>
      <w:r>
        <w:rPr>
          <w:rFonts w:hint="eastAsia" w:ascii="仿宋_GB2312" w:hAnsi="仿宋_GB2312" w:eastAsia="仿宋_GB2312" w:cs="仿宋_GB2312"/>
          <w:sz w:val="32"/>
          <w:szCs w:val="32"/>
        </w:rPr>
        <w:t>防震减灾“十四五”规划落实，大力推进规划确定的重点任务、重点项目实施，做好规划总结评估。推动</w:t>
      </w:r>
      <w:r>
        <w:rPr>
          <w:rFonts w:hint="eastAsia" w:ascii="仿宋_GB2312" w:hAnsi="仿宋_GB2312" w:eastAsia="仿宋_GB2312" w:cs="仿宋_GB2312"/>
          <w:sz w:val="32"/>
          <w:szCs w:val="32"/>
          <w:lang w:val="en-US" w:eastAsia="zh-CN"/>
        </w:rPr>
        <w:t>我市</w:t>
      </w:r>
      <w:r>
        <w:rPr>
          <w:rFonts w:hint="eastAsia" w:ascii="仿宋_GB2312" w:hAnsi="仿宋_GB2312" w:eastAsia="仿宋_GB2312" w:cs="仿宋_GB2312"/>
          <w:sz w:val="32"/>
          <w:szCs w:val="32"/>
        </w:rPr>
        <w:t>开展防震减灾“十五五”规划编制，系统谋划未来五年本地防震减灾救灾发展目标和重点项目。</w:t>
      </w:r>
    </w:p>
    <w:p w14:paraId="03164BDD">
      <w:pPr>
        <w:pStyle w:val="4"/>
        <w:keepNext w:val="0"/>
        <w:keepLines w:val="0"/>
        <w:pageBreakBefore w:val="0"/>
        <w:widowControl w:val="0"/>
        <w:kinsoku/>
        <w:wordWrap/>
        <w:overflowPunct/>
        <w:topLinePunct w:val="0"/>
        <w:autoSpaceDE/>
        <w:autoSpaceDN/>
        <w:bidi w:val="0"/>
        <w:adjustRightInd/>
        <w:snapToGrid/>
        <w:spacing w:line="580" w:lineRule="exact"/>
        <w:ind w:firstLine="622"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rPr>
        <w:t>二、夯实地震工作基础，提升震灾防范水平</w:t>
      </w:r>
      <w:r>
        <w:rPr>
          <w:rFonts w:hint="eastAsia" w:ascii="黑体" w:hAnsi="黑体" w:eastAsia="黑体" w:cs="黑体"/>
          <w:sz w:val="32"/>
          <w:szCs w:val="32"/>
          <w:lang w:eastAsia="zh-CN"/>
        </w:rPr>
        <w:t>。</w:t>
      </w:r>
    </w:p>
    <w:p w14:paraId="50271B3F">
      <w:pPr>
        <w:pStyle w:val="4"/>
        <w:keepNext w:val="0"/>
        <w:keepLines w:val="0"/>
        <w:pageBreakBefore w:val="0"/>
        <w:widowControl w:val="0"/>
        <w:kinsoku/>
        <w:wordWrap/>
        <w:overflowPunct/>
        <w:topLinePunct w:val="0"/>
        <w:autoSpaceDE/>
        <w:autoSpaceDN/>
        <w:bidi w:val="0"/>
        <w:adjustRightInd/>
        <w:snapToGrid/>
        <w:spacing w:line="580" w:lineRule="exact"/>
        <w:ind w:firstLine="62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5.抓好地震监测预警工作。</w:t>
      </w:r>
      <w:r>
        <w:rPr>
          <w:rFonts w:hint="eastAsia" w:ascii="仿宋_GB2312" w:hAnsi="仿宋_GB2312" w:eastAsia="仿宋_GB2312" w:cs="仿宋_GB2312"/>
          <w:sz w:val="32"/>
          <w:szCs w:val="32"/>
        </w:rPr>
        <w:t>优化地震监测预警站网建设，督导推进莲青山地震台优化改造等工作开展。加强地震监测站网运行管理，落实速报预警站网运维、地震观测环境保护等属地责任。推动地震预警终端建设，指导</w:t>
      </w:r>
      <w:r>
        <w:rPr>
          <w:rFonts w:hint="eastAsia" w:ascii="仿宋_GB2312" w:hAnsi="仿宋_GB2312" w:eastAsia="仿宋_GB2312" w:cs="仿宋_GB2312"/>
          <w:sz w:val="32"/>
          <w:szCs w:val="32"/>
          <w:lang w:val="en-US" w:eastAsia="zh-CN"/>
        </w:rPr>
        <w:t>相关单位（部门）</w:t>
      </w:r>
      <w:r>
        <w:rPr>
          <w:rFonts w:hint="eastAsia" w:ascii="仿宋_GB2312" w:hAnsi="仿宋_GB2312" w:eastAsia="仿宋_GB2312" w:cs="仿宋_GB2312"/>
          <w:sz w:val="32"/>
          <w:szCs w:val="32"/>
        </w:rPr>
        <w:t>在矿山、危化等重点行业和学校、医院等人员密集场所加大预警终端布设力度，提升地震预警服务覆盖度。加强监测预警业务培训，开展流动测震技能练兵，提升队伍专业素质。</w:t>
      </w:r>
    </w:p>
    <w:p w14:paraId="7DCDE88B">
      <w:pPr>
        <w:pStyle w:val="4"/>
        <w:keepNext w:val="0"/>
        <w:keepLines w:val="0"/>
        <w:pageBreakBefore w:val="0"/>
        <w:widowControl w:val="0"/>
        <w:kinsoku/>
        <w:wordWrap/>
        <w:overflowPunct/>
        <w:topLinePunct w:val="0"/>
        <w:autoSpaceDE/>
        <w:autoSpaceDN/>
        <w:bidi w:val="0"/>
        <w:adjustRightInd/>
        <w:snapToGrid/>
        <w:spacing w:line="580" w:lineRule="exact"/>
        <w:ind w:firstLine="62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6.加强震情监视研判工作。</w:t>
      </w:r>
      <w:r>
        <w:rPr>
          <w:rFonts w:hint="eastAsia" w:ascii="仿宋_GB2312" w:hAnsi="仿宋_GB2312" w:eastAsia="仿宋_GB2312" w:cs="仿宋_GB2312"/>
          <w:sz w:val="32"/>
          <w:szCs w:val="32"/>
        </w:rPr>
        <w:t>制定2025年度震情监视跟踪工作方案，强化地球物理、测震综合等资料的动态监视跟踪，严格执行宏微观异常零报告制度。严格落实省地震局关于震情会商的工作要求，认真做好各时段震情会商研判工作。持续抓好地震群测群防工作，及时更新群测群防宏观点位基础信息，建立健全异常情况通报机制，不断扩大异常数据采集范围和核实能力，逐步完善地震预报群测群防业务体系，强化规范化管理水平。</w:t>
      </w:r>
    </w:p>
    <w:p w14:paraId="62FD7875">
      <w:pPr>
        <w:pStyle w:val="4"/>
        <w:keepNext w:val="0"/>
        <w:keepLines w:val="0"/>
        <w:pageBreakBefore w:val="0"/>
        <w:widowControl w:val="0"/>
        <w:kinsoku/>
        <w:wordWrap/>
        <w:overflowPunct/>
        <w:topLinePunct w:val="0"/>
        <w:autoSpaceDE/>
        <w:autoSpaceDN/>
        <w:bidi w:val="0"/>
        <w:adjustRightInd/>
        <w:snapToGrid/>
        <w:spacing w:line="580" w:lineRule="exact"/>
        <w:ind w:firstLine="62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7.强化抗震设防要求管理。</w:t>
      </w:r>
      <w:r>
        <w:rPr>
          <w:rFonts w:hint="eastAsia" w:ascii="仿宋_GB2312" w:hAnsi="仿宋_GB2312" w:eastAsia="仿宋_GB2312" w:cs="仿宋_GB2312"/>
          <w:sz w:val="32"/>
          <w:szCs w:val="32"/>
        </w:rPr>
        <w:t>规范建设工程抗震设防要求审定程序，开展震安行动，指导服务重点项目落实抗震设防要求。加强地震安全性评价质量监管和从业单位信用监管。持续开展房屋设施抗震设防信息采集，创造条件推动地震灾害损失预评估工作。</w:t>
      </w:r>
    </w:p>
    <w:p w14:paraId="56D72D6C">
      <w:pPr>
        <w:pStyle w:val="4"/>
        <w:keepNext w:val="0"/>
        <w:keepLines w:val="0"/>
        <w:pageBreakBefore w:val="0"/>
        <w:widowControl w:val="0"/>
        <w:kinsoku/>
        <w:wordWrap/>
        <w:overflowPunct/>
        <w:topLinePunct w:val="0"/>
        <w:autoSpaceDE/>
        <w:autoSpaceDN/>
        <w:bidi w:val="0"/>
        <w:adjustRightInd/>
        <w:snapToGrid/>
        <w:spacing w:line="580" w:lineRule="exact"/>
        <w:ind w:firstLine="62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8.强化防震减灾公共服务。</w:t>
      </w:r>
      <w:r>
        <w:rPr>
          <w:rFonts w:hint="eastAsia" w:ascii="仿宋_GB2312" w:hAnsi="仿宋_GB2312" w:eastAsia="仿宋_GB2312" w:cs="仿宋_GB2312"/>
          <w:sz w:val="32"/>
          <w:szCs w:val="32"/>
        </w:rPr>
        <w:t>抓紧抓实全国中小学生“安全教育日”、全国防灾减灾日、全国科普日等重点时段科普宣传。持续推进“地震科普携手同行”主题活动。科普知识宣传和逃生避险、自救互救技能培养并重，常态化开展科普“六进”活动。组织家庭应急技能竞赛。推动将防震减灾纳入社会事务“进校园”白名单，推动防震减灾进党校常态化。加强山东省防震减灾公共服务平台的推广使用。探索</w:t>
      </w:r>
      <w:r>
        <w:rPr>
          <w:rFonts w:hint="eastAsia" w:ascii="仿宋_GB2312" w:hAnsi="仿宋_GB2312" w:eastAsia="仿宋_GB2312" w:cs="仿宋_GB2312"/>
          <w:sz w:val="32"/>
          <w:szCs w:val="32"/>
          <w:lang w:eastAsia="zh-CN"/>
        </w:rPr>
        <w:t>有关</w:t>
      </w:r>
      <w:r>
        <w:rPr>
          <w:rFonts w:hint="eastAsia" w:ascii="仿宋_GB2312" w:hAnsi="仿宋_GB2312" w:eastAsia="仿宋_GB2312" w:cs="仿宋_GB2312"/>
          <w:sz w:val="32"/>
          <w:szCs w:val="32"/>
        </w:rPr>
        <w:t>重点项目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危化企业地震安全公共服务路径。</w:t>
      </w:r>
    </w:p>
    <w:p w14:paraId="504A31B5">
      <w:pPr>
        <w:pStyle w:val="4"/>
        <w:keepNext w:val="0"/>
        <w:keepLines w:val="0"/>
        <w:pageBreakBefore w:val="0"/>
        <w:widowControl w:val="0"/>
        <w:kinsoku/>
        <w:wordWrap/>
        <w:overflowPunct/>
        <w:topLinePunct w:val="0"/>
        <w:autoSpaceDE/>
        <w:autoSpaceDN/>
        <w:bidi w:val="0"/>
        <w:adjustRightInd/>
        <w:snapToGrid/>
        <w:spacing w:line="580" w:lineRule="exact"/>
        <w:ind w:firstLine="622"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rPr>
        <w:t>三、强化应急准备，提升应急响应能力</w:t>
      </w:r>
      <w:r>
        <w:rPr>
          <w:rFonts w:hint="eastAsia" w:ascii="黑体" w:hAnsi="黑体" w:eastAsia="黑体" w:cs="黑体"/>
          <w:sz w:val="32"/>
          <w:szCs w:val="32"/>
          <w:lang w:eastAsia="zh-CN"/>
        </w:rPr>
        <w:t>。</w:t>
      </w:r>
    </w:p>
    <w:p w14:paraId="33ADB394">
      <w:pPr>
        <w:pStyle w:val="4"/>
        <w:keepNext w:val="0"/>
        <w:keepLines w:val="0"/>
        <w:pageBreakBefore w:val="0"/>
        <w:widowControl w:val="0"/>
        <w:kinsoku/>
        <w:wordWrap/>
        <w:overflowPunct/>
        <w:topLinePunct w:val="0"/>
        <w:autoSpaceDE/>
        <w:autoSpaceDN/>
        <w:bidi w:val="0"/>
        <w:adjustRightInd/>
        <w:snapToGrid/>
        <w:spacing w:line="580" w:lineRule="exact"/>
        <w:ind w:firstLine="62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9.推进地震应急预案修订。</w:t>
      </w:r>
      <w:r>
        <w:rPr>
          <w:rFonts w:hint="eastAsia" w:ascii="仿宋_GB2312" w:hAnsi="仿宋_GB2312" w:eastAsia="仿宋_GB2312" w:cs="仿宋_GB2312"/>
          <w:sz w:val="32"/>
          <w:szCs w:val="32"/>
        </w:rPr>
        <w:t>按照《国家地震应急预案》修订发布情况及省应急厅、省地震局省级地震应急预案修编工作要求，及时组织修编本级和部门(单位)地震应急预案，提升预案针对性和可操作性。完善地震灾害应对工作手册，编制地震灾害应急处置流程图，提升处置实效性。</w:t>
      </w:r>
    </w:p>
    <w:p w14:paraId="3A2B4D5D">
      <w:pPr>
        <w:pStyle w:val="4"/>
        <w:keepNext w:val="0"/>
        <w:keepLines w:val="0"/>
        <w:pageBreakBefore w:val="0"/>
        <w:widowControl w:val="0"/>
        <w:kinsoku/>
        <w:wordWrap/>
        <w:overflowPunct/>
        <w:topLinePunct w:val="0"/>
        <w:autoSpaceDE/>
        <w:autoSpaceDN/>
        <w:bidi w:val="0"/>
        <w:adjustRightInd/>
        <w:snapToGrid/>
        <w:spacing w:line="580" w:lineRule="exact"/>
        <w:ind w:firstLine="62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10.常态化组织地震应急演练。</w:t>
      </w:r>
      <w:r>
        <w:rPr>
          <w:rFonts w:hint="eastAsia" w:ascii="仿宋_GB2312" w:hAnsi="仿宋_GB2312" w:eastAsia="仿宋_GB2312" w:cs="仿宋_GB2312"/>
          <w:sz w:val="32"/>
          <w:szCs w:val="32"/>
        </w:rPr>
        <w:t>因地制宜开展形式多样的地震应急演练，各</w:t>
      </w:r>
      <w:r>
        <w:rPr>
          <w:rFonts w:hint="eastAsia" w:ascii="仿宋_GB2312" w:hAnsi="仿宋_GB2312" w:eastAsia="仿宋_GB2312" w:cs="仿宋_GB2312"/>
          <w:sz w:val="32"/>
          <w:szCs w:val="32"/>
          <w:lang w:val="en-US" w:eastAsia="zh-CN"/>
        </w:rPr>
        <w:t>镇街</w:t>
      </w:r>
      <w:r>
        <w:rPr>
          <w:rFonts w:hint="eastAsia" w:ascii="仿宋_GB2312" w:hAnsi="仿宋_GB2312" w:eastAsia="仿宋_GB2312" w:cs="仿宋_GB2312"/>
          <w:sz w:val="32"/>
          <w:szCs w:val="32"/>
        </w:rPr>
        <w:t>至少要组织1次地震应急演练。倡议推动开展政府机关地震紧急避险和应急疏散演练。</w:t>
      </w:r>
    </w:p>
    <w:p w14:paraId="442755A7">
      <w:pPr>
        <w:pStyle w:val="4"/>
        <w:keepNext w:val="0"/>
        <w:keepLines w:val="0"/>
        <w:pageBreakBefore w:val="0"/>
        <w:widowControl w:val="0"/>
        <w:kinsoku/>
        <w:wordWrap/>
        <w:overflowPunct/>
        <w:topLinePunct w:val="0"/>
        <w:autoSpaceDE/>
        <w:autoSpaceDN/>
        <w:bidi w:val="0"/>
        <w:adjustRightInd/>
        <w:snapToGrid/>
        <w:spacing w:line="580" w:lineRule="exact"/>
        <w:ind w:firstLine="62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11.推动应急避难场所建设。</w:t>
      </w:r>
      <w:r>
        <w:rPr>
          <w:rFonts w:hint="eastAsia" w:ascii="仿宋_GB2312" w:hAnsi="仿宋_GB2312" w:eastAsia="仿宋_GB2312" w:cs="仿宋_GB2312"/>
          <w:sz w:val="32"/>
          <w:szCs w:val="32"/>
        </w:rPr>
        <w:t>全面完成应急避难场所专项规划编制，启动应急避难场所建设，初步形成省、市、县、镇(街道)和村(社区)五级应急避难场所布局体系，村(社区)应急避难场所覆盖范围进一步扩大，综合防灾减灾功能进一步夯实。综合性应急避难场所至少可满足本级行政区所需避难总人数的60%,室内可容纳避难人数不低于室内外可容纳避难总人数的20%。</w:t>
      </w:r>
    </w:p>
    <w:p w14:paraId="630E50FA">
      <w:pPr>
        <w:pStyle w:val="4"/>
        <w:keepNext w:val="0"/>
        <w:keepLines w:val="0"/>
        <w:pageBreakBefore w:val="0"/>
        <w:widowControl w:val="0"/>
        <w:kinsoku/>
        <w:wordWrap/>
        <w:overflowPunct/>
        <w:topLinePunct w:val="0"/>
        <w:autoSpaceDE/>
        <w:autoSpaceDN/>
        <w:bidi w:val="0"/>
        <w:adjustRightInd/>
        <w:snapToGrid/>
        <w:spacing w:line="580" w:lineRule="exact"/>
        <w:ind w:firstLine="62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12.强化应急装备物资保障。</w:t>
      </w:r>
      <w:r>
        <w:rPr>
          <w:rFonts w:hint="eastAsia" w:ascii="仿宋_GB2312" w:hAnsi="仿宋_GB2312" w:eastAsia="仿宋_GB2312" w:cs="仿宋_GB2312"/>
          <w:sz w:val="32"/>
          <w:szCs w:val="32"/>
        </w:rPr>
        <w:t>按照分级负责、属地管理为主的原则，</w:t>
      </w:r>
      <w:r>
        <w:rPr>
          <w:rFonts w:hint="eastAsia" w:ascii="仿宋_GB2312" w:hAnsi="仿宋_GB2312" w:eastAsia="仿宋_GB2312" w:cs="仿宋_GB2312"/>
          <w:sz w:val="32"/>
          <w:szCs w:val="32"/>
          <w:lang w:val="en-US" w:eastAsia="zh-CN"/>
        </w:rPr>
        <w:t>各镇街</w:t>
      </w:r>
      <w:r>
        <w:rPr>
          <w:rFonts w:hint="eastAsia" w:ascii="仿宋_GB2312" w:hAnsi="仿宋_GB2312" w:eastAsia="仿宋_GB2312" w:cs="仿宋_GB2312"/>
          <w:sz w:val="32"/>
          <w:szCs w:val="32"/>
        </w:rPr>
        <w:t>要加大装备物资专项经费投入，丰富装备物资种类和数量。要主动摸清救援装备配置数量，确保发生灾情时能够迅速投入救援；发挥前沿科技在防震减灾救灾中的应用，提高救援效率。</w:t>
      </w:r>
    </w:p>
    <w:p w14:paraId="4E7D28F5">
      <w:pPr>
        <w:pStyle w:val="4"/>
        <w:keepNext w:val="0"/>
        <w:keepLines w:val="0"/>
        <w:pageBreakBefore w:val="0"/>
        <w:widowControl w:val="0"/>
        <w:kinsoku/>
        <w:wordWrap/>
        <w:overflowPunct/>
        <w:topLinePunct w:val="0"/>
        <w:autoSpaceDE/>
        <w:autoSpaceDN/>
        <w:bidi w:val="0"/>
        <w:adjustRightInd/>
        <w:snapToGrid/>
        <w:spacing w:line="580" w:lineRule="exact"/>
        <w:ind w:firstLine="62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13.提升信息化支撑保障能力。</w:t>
      </w:r>
      <w:r>
        <w:rPr>
          <w:rFonts w:hint="eastAsia" w:ascii="仿宋_GB2312" w:hAnsi="仿宋_GB2312" w:eastAsia="仿宋_GB2312" w:cs="仿宋_GB2312"/>
          <w:sz w:val="32"/>
          <w:szCs w:val="32"/>
        </w:rPr>
        <w:t>全面更新地震应急基础数据库，提高地震灾害评估准确性。增强地震灾情快速获取能力，推动综合应急信息共享共用，为地震灾情综合研判提供信息化技术支持。</w:t>
      </w:r>
    </w:p>
    <w:p w14:paraId="2DAFE577">
      <w:pPr>
        <w:pStyle w:val="4"/>
        <w:keepNext w:val="0"/>
        <w:keepLines w:val="0"/>
        <w:pageBreakBefore w:val="0"/>
        <w:widowControl w:val="0"/>
        <w:kinsoku/>
        <w:wordWrap/>
        <w:overflowPunct/>
        <w:topLinePunct w:val="0"/>
        <w:autoSpaceDE/>
        <w:autoSpaceDN/>
        <w:bidi w:val="0"/>
        <w:adjustRightInd/>
        <w:snapToGrid/>
        <w:spacing w:line="580" w:lineRule="exact"/>
        <w:ind w:firstLine="622"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rPr>
        <w:t>四、强化协作协同，提升救灾联动能力</w:t>
      </w:r>
      <w:r>
        <w:rPr>
          <w:rFonts w:hint="eastAsia" w:ascii="黑体" w:hAnsi="黑体" w:eastAsia="黑体" w:cs="黑体"/>
          <w:sz w:val="32"/>
          <w:szCs w:val="32"/>
          <w:lang w:eastAsia="zh-CN"/>
        </w:rPr>
        <w:t>。</w:t>
      </w:r>
    </w:p>
    <w:p w14:paraId="176EECA9">
      <w:pPr>
        <w:pStyle w:val="4"/>
        <w:keepNext w:val="0"/>
        <w:keepLines w:val="0"/>
        <w:pageBreakBefore w:val="0"/>
        <w:widowControl w:val="0"/>
        <w:kinsoku/>
        <w:wordWrap/>
        <w:overflowPunct/>
        <w:topLinePunct w:val="0"/>
        <w:autoSpaceDE/>
        <w:autoSpaceDN/>
        <w:bidi w:val="0"/>
        <w:adjustRightInd/>
        <w:snapToGrid/>
        <w:spacing w:line="580" w:lineRule="exact"/>
        <w:ind w:firstLine="62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14.强化应急协作联动。</w:t>
      </w:r>
      <w:r>
        <w:rPr>
          <w:rFonts w:hint="eastAsia" w:ascii="仿宋_GB2312" w:hAnsi="仿宋_GB2312" w:eastAsia="仿宋_GB2312" w:cs="仿宋_GB2312"/>
          <w:sz w:val="32"/>
          <w:szCs w:val="32"/>
        </w:rPr>
        <w:t>加强与</w:t>
      </w:r>
      <w:r>
        <w:rPr>
          <w:rFonts w:hint="eastAsia" w:ascii="仿宋_GB2312" w:hAnsi="仿宋_GB2312" w:eastAsia="仿宋_GB2312" w:cs="仿宋_GB2312"/>
          <w:sz w:val="32"/>
          <w:szCs w:val="32"/>
          <w:lang w:val="en-US" w:eastAsia="zh-CN"/>
        </w:rPr>
        <w:t>枣庄地震局</w:t>
      </w:r>
      <w:r>
        <w:rPr>
          <w:rFonts w:hint="eastAsia" w:ascii="仿宋_GB2312" w:hAnsi="仿宋_GB2312" w:eastAsia="仿宋_GB2312" w:cs="仿宋_GB2312"/>
          <w:sz w:val="32"/>
          <w:szCs w:val="32"/>
        </w:rPr>
        <w:t>等相关单位沟通协调和信息共享，</w:t>
      </w:r>
      <w:r>
        <w:rPr>
          <w:rFonts w:hint="eastAsia" w:ascii="仿宋_GB2312" w:hAnsi="仿宋_GB2312" w:eastAsia="仿宋_GB2312" w:cs="仿宋_GB2312"/>
          <w:sz w:val="32"/>
          <w:szCs w:val="32"/>
          <w:lang w:val="en-US" w:eastAsia="zh-CN"/>
        </w:rPr>
        <w:t>及时</w:t>
      </w:r>
      <w:r>
        <w:rPr>
          <w:rFonts w:hint="eastAsia" w:ascii="仿宋_GB2312" w:hAnsi="仿宋_GB2312" w:eastAsia="仿宋_GB2312" w:cs="仿宋_GB2312"/>
          <w:sz w:val="32"/>
          <w:szCs w:val="32"/>
        </w:rPr>
        <w:t>召开震情趋势会商会议，共同研判科学把握</w:t>
      </w:r>
      <w:r>
        <w:rPr>
          <w:rFonts w:hint="eastAsia" w:ascii="仿宋_GB2312" w:hAnsi="仿宋_GB2312" w:eastAsia="仿宋_GB2312" w:cs="仿宋_GB2312"/>
          <w:sz w:val="32"/>
          <w:szCs w:val="32"/>
          <w:lang w:val="en-US" w:eastAsia="zh-CN"/>
        </w:rPr>
        <w:t>我市</w:t>
      </w:r>
      <w:r>
        <w:rPr>
          <w:rFonts w:hint="eastAsia" w:ascii="仿宋_GB2312" w:hAnsi="仿宋_GB2312" w:eastAsia="仿宋_GB2312" w:cs="仿宋_GB2312"/>
          <w:sz w:val="32"/>
          <w:szCs w:val="32"/>
        </w:rPr>
        <w:t>震情趋势；强化宏微观异常核实和跟踪分析，加强宏观观测管理和异常信息收集、核实、报送，组织开展震情跟踪工作交流，并加强对</w:t>
      </w:r>
      <w:r>
        <w:rPr>
          <w:rFonts w:hint="eastAsia" w:ascii="仿宋_GB2312" w:hAnsi="仿宋_GB2312" w:eastAsia="仿宋_GB2312" w:cs="仿宋_GB2312"/>
          <w:sz w:val="32"/>
          <w:szCs w:val="32"/>
          <w:lang w:val="en-US" w:eastAsia="zh-CN"/>
        </w:rPr>
        <w:t>各单位（部门）</w:t>
      </w:r>
      <w:r>
        <w:rPr>
          <w:rFonts w:hint="eastAsia" w:ascii="仿宋_GB2312" w:hAnsi="仿宋_GB2312" w:eastAsia="仿宋_GB2312" w:cs="仿宋_GB2312"/>
          <w:sz w:val="32"/>
          <w:szCs w:val="32"/>
        </w:rPr>
        <w:t>业务指导。积极参与鲁中南所在区域地震应急协作联动，形成工作合力。</w:t>
      </w:r>
    </w:p>
    <w:p w14:paraId="56D4A83F">
      <w:pPr>
        <w:pStyle w:val="4"/>
        <w:keepNext w:val="0"/>
        <w:keepLines w:val="0"/>
        <w:pageBreakBefore w:val="0"/>
        <w:widowControl w:val="0"/>
        <w:kinsoku/>
        <w:wordWrap/>
        <w:overflowPunct/>
        <w:topLinePunct w:val="0"/>
        <w:autoSpaceDE/>
        <w:autoSpaceDN/>
        <w:bidi w:val="0"/>
        <w:adjustRightInd/>
        <w:snapToGrid/>
        <w:spacing w:line="580" w:lineRule="exact"/>
        <w:ind w:firstLine="62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15.优化震后协调配合。</w:t>
      </w:r>
      <w:r>
        <w:rPr>
          <w:rFonts w:hint="eastAsia" w:ascii="仿宋_GB2312" w:hAnsi="仿宋_GB2312" w:eastAsia="仿宋_GB2312" w:cs="仿宋_GB2312"/>
          <w:sz w:val="32"/>
          <w:szCs w:val="32"/>
        </w:rPr>
        <w:t>发生有感地震后，市应急部门应开展灾情调查、救援处置等工作。其中，发生非破坏性地震后，要积极配合省</w:t>
      </w:r>
      <w:r>
        <w:rPr>
          <w:rFonts w:hint="eastAsia" w:ascii="仿宋_GB2312" w:hAnsi="仿宋_GB2312" w:eastAsia="仿宋_GB2312" w:cs="仿宋_GB2312"/>
          <w:sz w:val="32"/>
          <w:szCs w:val="32"/>
          <w:lang w:eastAsia="zh-CN"/>
        </w:rPr>
        <w:t>、枣庄</w:t>
      </w:r>
      <w:r>
        <w:rPr>
          <w:rFonts w:hint="eastAsia" w:ascii="仿宋_GB2312" w:hAnsi="仿宋_GB2312" w:eastAsia="仿宋_GB2312" w:cs="仿宋_GB2312"/>
          <w:sz w:val="32"/>
          <w:szCs w:val="32"/>
        </w:rPr>
        <w:t>地震局开展震情监测与趋势会商、地震现场调查评估等工作。发生破坏性地震后，要积极配合省应急厅开展地震应急救援，配合省地震局做好震情速报、震害快速评估和辅助决策、震后趋势判定、烈度评定等工作。</w:t>
      </w:r>
    </w:p>
    <w:p w14:paraId="480EC6E3">
      <w:pPr>
        <w:pStyle w:val="4"/>
        <w:keepNext w:val="0"/>
        <w:keepLines w:val="0"/>
        <w:pageBreakBefore w:val="0"/>
        <w:widowControl w:val="0"/>
        <w:kinsoku/>
        <w:wordWrap/>
        <w:overflowPunct/>
        <w:topLinePunct w:val="0"/>
        <w:autoSpaceDE/>
        <w:autoSpaceDN/>
        <w:bidi w:val="0"/>
        <w:adjustRightInd/>
        <w:snapToGrid/>
        <w:spacing w:line="580" w:lineRule="exact"/>
        <w:ind w:firstLine="62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16.加强防震减灾执法。</w:t>
      </w:r>
      <w:r>
        <w:rPr>
          <w:rFonts w:hint="eastAsia" w:ascii="仿宋_GB2312" w:hAnsi="仿宋_GB2312" w:eastAsia="仿宋_GB2312" w:cs="仿宋_GB2312"/>
          <w:sz w:val="32"/>
          <w:szCs w:val="32"/>
        </w:rPr>
        <w:t>持续推动应急管理综合执法改革，应急管理综合执法队伍普遍承接地震行政执法工作，配强配齐专职执法人员，加大对执法人员的培训力度。开展地震行政执法检查文书评查。积极参加全省应急管理综合行政执法技能竞赛。强化对地震行政执法系统的使用和培训。</w:t>
      </w:r>
    </w:p>
    <w:p w14:paraId="5B6C6399">
      <w:pPr>
        <w:pStyle w:val="4"/>
        <w:keepNext w:val="0"/>
        <w:keepLines w:val="0"/>
        <w:pageBreakBefore w:val="0"/>
        <w:widowControl w:val="0"/>
        <w:kinsoku/>
        <w:wordWrap/>
        <w:overflowPunct/>
        <w:topLinePunct w:val="0"/>
        <w:autoSpaceDE/>
        <w:autoSpaceDN/>
        <w:bidi w:val="0"/>
        <w:adjustRightInd/>
        <w:snapToGrid/>
        <w:spacing w:line="580" w:lineRule="exact"/>
        <w:ind w:firstLine="622" w:firstLineChars="200"/>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sz w:val="32"/>
          <w:szCs w:val="32"/>
        </w:rPr>
        <w:t>17.提升防震减灾业务水平。</w:t>
      </w:r>
      <w:r>
        <w:rPr>
          <w:rFonts w:hint="eastAsia" w:ascii="仿宋_GB2312" w:hAnsi="仿宋_GB2312" w:eastAsia="仿宋_GB2312" w:cs="仿宋_GB2312"/>
          <w:sz w:val="32"/>
          <w:szCs w:val="32"/>
        </w:rPr>
        <w:t>加强防震减灾培训，更多向基层倾斜培训资源，重点面向</w:t>
      </w:r>
      <w:r>
        <w:rPr>
          <w:rFonts w:hint="eastAsia" w:ascii="仿宋_GB2312" w:hAnsi="仿宋_GB2312" w:eastAsia="仿宋_GB2312" w:cs="仿宋_GB2312"/>
          <w:sz w:val="32"/>
          <w:szCs w:val="32"/>
          <w:lang w:val="en-US" w:eastAsia="zh-CN"/>
        </w:rPr>
        <w:t>各单位（部门）</w:t>
      </w:r>
      <w:r>
        <w:rPr>
          <w:rFonts w:hint="eastAsia" w:ascii="仿宋_GB2312" w:hAnsi="仿宋_GB2312" w:eastAsia="仿宋_GB2312" w:cs="仿宋_GB2312"/>
          <w:sz w:val="32"/>
          <w:szCs w:val="32"/>
        </w:rPr>
        <w:t>领导、</w:t>
      </w:r>
      <w:r>
        <w:rPr>
          <w:rFonts w:hint="eastAsia" w:ascii="仿宋_GB2312" w:hAnsi="仿宋_GB2312" w:eastAsia="仿宋_GB2312" w:cs="仿宋_GB2312"/>
          <w:sz w:val="32"/>
          <w:szCs w:val="32"/>
          <w:lang w:val="en-US" w:eastAsia="zh-CN"/>
        </w:rPr>
        <w:t>镇街应急办</w:t>
      </w:r>
      <w:r>
        <w:rPr>
          <w:rFonts w:hint="eastAsia" w:ascii="仿宋_GB2312" w:hAnsi="仿宋_GB2312" w:eastAsia="仿宋_GB2312" w:cs="仿宋_GB2312"/>
          <w:sz w:val="32"/>
          <w:szCs w:val="32"/>
        </w:rPr>
        <w:t>负责同志和</w:t>
      </w:r>
      <w:r>
        <w:rPr>
          <w:rFonts w:hint="eastAsia" w:ascii="仿宋_GB2312" w:hAnsi="仿宋_GB2312" w:eastAsia="仿宋_GB2312" w:cs="仿宋_GB2312"/>
          <w:sz w:val="32"/>
          <w:szCs w:val="32"/>
          <w:lang w:val="en-US" w:eastAsia="zh-CN"/>
        </w:rPr>
        <w:t>工作</w:t>
      </w:r>
      <w:r>
        <w:rPr>
          <w:rFonts w:hint="eastAsia" w:ascii="仿宋_GB2312" w:hAnsi="仿宋_GB2312" w:eastAsia="仿宋_GB2312" w:cs="仿宋_GB2312"/>
          <w:sz w:val="32"/>
          <w:szCs w:val="32"/>
        </w:rPr>
        <w:t>人员开展培训，用好《防震减灾》教材，进一步提升培训系统性、针对性和实效性。要结合工作实际组织本</w:t>
      </w:r>
      <w:r>
        <w:rPr>
          <w:rFonts w:hint="eastAsia" w:ascii="仿宋_GB2312" w:hAnsi="仿宋_GB2312" w:eastAsia="仿宋_GB2312" w:cs="仿宋_GB2312"/>
          <w:sz w:val="32"/>
          <w:szCs w:val="32"/>
          <w:lang w:val="en-US" w:eastAsia="zh-CN"/>
        </w:rPr>
        <w:t>单位（部门）</w:t>
      </w:r>
      <w:r>
        <w:rPr>
          <w:rFonts w:hint="eastAsia" w:ascii="仿宋_GB2312" w:hAnsi="仿宋_GB2312" w:eastAsia="仿宋_GB2312" w:cs="仿宋_GB2312"/>
          <w:sz w:val="32"/>
          <w:szCs w:val="32"/>
        </w:rPr>
        <w:t>防震减灾培训。深入开展业务练兵比武，全面提高业务能力</w:t>
      </w:r>
      <w:r>
        <w:rPr>
          <w:rFonts w:hint="eastAsia" w:ascii="仿宋_GB2312" w:hAnsi="仿宋_GB2312" w:eastAsia="仿宋_GB2312" w:cs="仿宋_GB2312"/>
          <w:sz w:val="32"/>
          <w:szCs w:val="32"/>
          <w:lang w:eastAsia="zh-CN"/>
        </w:rPr>
        <w:t>。</w:t>
      </w:r>
    </w:p>
    <w:p w14:paraId="7BD22390">
      <w:pPr>
        <w:pStyle w:val="4"/>
        <w:keepNext w:val="0"/>
        <w:keepLines w:val="0"/>
        <w:pageBreakBefore w:val="0"/>
        <w:widowControl w:val="0"/>
        <w:kinsoku/>
        <w:wordWrap/>
        <w:overflowPunct/>
        <w:topLinePunct w:val="0"/>
        <w:autoSpaceDE/>
        <w:autoSpaceDN/>
        <w:bidi w:val="0"/>
        <w:adjustRightInd/>
        <w:snapToGrid/>
        <w:spacing w:line="580" w:lineRule="exact"/>
        <w:ind w:firstLine="622" w:firstLineChars="200"/>
        <w:textAlignment w:val="auto"/>
        <w:rPr>
          <w:rFonts w:hint="eastAsia" w:ascii="黑体" w:hAnsi="黑体" w:eastAsia="黑体" w:cs="黑体"/>
          <w:sz w:val="32"/>
          <w:szCs w:val="32"/>
        </w:rPr>
      </w:pPr>
      <w:r>
        <w:rPr>
          <w:rFonts w:hint="eastAsia" w:ascii="黑体" w:hAnsi="黑体" w:eastAsia="黑体" w:cs="黑体"/>
          <w:sz w:val="32"/>
          <w:szCs w:val="32"/>
        </w:rPr>
        <w:t>五、保障措施</w:t>
      </w:r>
    </w:p>
    <w:p w14:paraId="5219820D">
      <w:pPr>
        <w:pStyle w:val="4"/>
        <w:keepNext w:val="0"/>
        <w:keepLines w:val="0"/>
        <w:pageBreakBefore w:val="0"/>
        <w:widowControl w:val="0"/>
        <w:kinsoku/>
        <w:wordWrap/>
        <w:overflowPunct/>
        <w:topLinePunct w:val="0"/>
        <w:autoSpaceDE/>
        <w:autoSpaceDN/>
        <w:bidi w:val="0"/>
        <w:adjustRightInd/>
        <w:snapToGrid/>
        <w:spacing w:line="580" w:lineRule="exact"/>
        <w:ind w:firstLine="622" w:firstLineChars="200"/>
        <w:textAlignment w:val="auto"/>
        <w:rPr>
          <w:rFonts w:hint="eastAsia"/>
          <w:lang w:val="en-US" w:eastAsia="zh-CN"/>
        </w:rPr>
      </w:pPr>
      <w:r>
        <w:rPr>
          <w:rFonts w:hint="eastAsia" w:ascii="楷体_GB2312" w:hAnsi="楷体_GB2312" w:eastAsia="楷体_GB2312" w:cs="楷体_GB2312"/>
          <w:sz w:val="32"/>
          <w:szCs w:val="32"/>
        </w:rPr>
        <w:t>18.强化统筹协调与督导检查。</w:t>
      </w:r>
      <w:r>
        <w:rPr>
          <w:rFonts w:hint="eastAsia" w:ascii="仿宋_GB2312" w:hAnsi="仿宋_GB2312" w:eastAsia="仿宋_GB2312" w:cs="仿宋_GB2312"/>
          <w:sz w:val="32"/>
          <w:szCs w:val="32"/>
        </w:rPr>
        <w:t>加强组织领导，全面落实防震减灾法定职责，组织制定年度防震减灾救灾工作要点，确保各项任务落实落细。市应急局切实履行抗震救灾指挥部(防震减灾专项小组)办公室职责，强化牵头抓总、综合调度和指导检查，各成员单位全力做好行业领域防震减灾救灾工作。组织开展全市防震减灾和地震应急准备工作专项检查，督导检查问题整改落实，持续提升全市防震减灾救灾整体水平</w:t>
      </w:r>
      <w:r>
        <w:rPr>
          <w:rFonts w:hint="eastAsia" w:ascii="仿宋_GB2312" w:hAnsi="仿宋_GB2312" w:eastAsia="仿宋_GB2312" w:cs="仿宋_GB2312"/>
          <w:sz w:val="32"/>
          <w:szCs w:val="32"/>
          <w:lang w:eastAsia="zh-CN"/>
        </w:rPr>
        <w:t>。</w:t>
      </w:r>
    </w:p>
    <w:sectPr>
      <w:headerReference r:id="rId3" w:type="default"/>
      <w:footerReference r:id="rId4" w:type="default"/>
      <w:pgSz w:w="11906" w:h="16838"/>
      <w:pgMar w:top="1984" w:right="1474" w:bottom="1928" w:left="1588" w:header="851" w:footer="1531" w:gutter="0"/>
      <w:pgNumType w:fmt="decimal"/>
      <w:cols w:space="720" w:num="1"/>
      <w:docGrid w:type="linesAndChars" w:linePitch="587" w:charSpace="-18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9FA86">
    <w:pPr>
      <w:pStyle w:val="6"/>
      <w:rPr>
        <w:rFonts w:ascii="宋体" w:hAnsi="宋体" w:eastAsia="宋体" w:cs="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9178F9">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39178F9">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58AB6">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gyY2Y5Y2UxZjkwY2NiYzg1MTM4ZmQzOTFhYWJhY2IifQ=="/>
  </w:docVars>
  <w:rsids>
    <w:rsidRoot w:val="00A804CB"/>
    <w:rsid w:val="00004F8D"/>
    <w:rsid w:val="00090DE5"/>
    <w:rsid w:val="000A0D46"/>
    <w:rsid w:val="000D40A3"/>
    <w:rsid w:val="001E1D1C"/>
    <w:rsid w:val="00272FA2"/>
    <w:rsid w:val="002F5AE2"/>
    <w:rsid w:val="00303F47"/>
    <w:rsid w:val="00332D5E"/>
    <w:rsid w:val="00335808"/>
    <w:rsid w:val="00423882"/>
    <w:rsid w:val="00474B3A"/>
    <w:rsid w:val="004F2E91"/>
    <w:rsid w:val="0063529A"/>
    <w:rsid w:val="00854FE4"/>
    <w:rsid w:val="008E678A"/>
    <w:rsid w:val="00930778"/>
    <w:rsid w:val="009A19DA"/>
    <w:rsid w:val="00A804CB"/>
    <w:rsid w:val="00AA420B"/>
    <w:rsid w:val="00AB4772"/>
    <w:rsid w:val="00BD3A9B"/>
    <w:rsid w:val="00BF6CB4"/>
    <w:rsid w:val="00C47F04"/>
    <w:rsid w:val="00CD7214"/>
    <w:rsid w:val="00DA1041"/>
    <w:rsid w:val="00DC0AC0"/>
    <w:rsid w:val="00ED6736"/>
    <w:rsid w:val="018C0E54"/>
    <w:rsid w:val="01C01E33"/>
    <w:rsid w:val="01C73D7E"/>
    <w:rsid w:val="01EA69A1"/>
    <w:rsid w:val="02257C5C"/>
    <w:rsid w:val="025119EA"/>
    <w:rsid w:val="025B38A8"/>
    <w:rsid w:val="028D7421"/>
    <w:rsid w:val="03302C39"/>
    <w:rsid w:val="036E6DD7"/>
    <w:rsid w:val="04373FE3"/>
    <w:rsid w:val="05121E5F"/>
    <w:rsid w:val="052D798F"/>
    <w:rsid w:val="055B464A"/>
    <w:rsid w:val="05EC445F"/>
    <w:rsid w:val="06450D30"/>
    <w:rsid w:val="06961919"/>
    <w:rsid w:val="06BE23F9"/>
    <w:rsid w:val="07161C70"/>
    <w:rsid w:val="071D4AEC"/>
    <w:rsid w:val="07CC4C70"/>
    <w:rsid w:val="08A70B11"/>
    <w:rsid w:val="08D5567E"/>
    <w:rsid w:val="092403B3"/>
    <w:rsid w:val="09473F10"/>
    <w:rsid w:val="09630A6C"/>
    <w:rsid w:val="099F66B8"/>
    <w:rsid w:val="09C676BC"/>
    <w:rsid w:val="09FB552C"/>
    <w:rsid w:val="0A8360BD"/>
    <w:rsid w:val="0AB403F4"/>
    <w:rsid w:val="0B8971E8"/>
    <w:rsid w:val="0BF369C0"/>
    <w:rsid w:val="0C464B57"/>
    <w:rsid w:val="0C745DF3"/>
    <w:rsid w:val="0CA16576"/>
    <w:rsid w:val="0CC47DEB"/>
    <w:rsid w:val="0CD31E74"/>
    <w:rsid w:val="0CDA7707"/>
    <w:rsid w:val="0CDF2694"/>
    <w:rsid w:val="0D1B53C2"/>
    <w:rsid w:val="0D223B79"/>
    <w:rsid w:val="0D961C19"/>
    <w:rsid w:val="0E27412D"/>
    <w:rsid w:val="0E303641"/>
    <w:rsid w:val="0E50187C"/>
    <w:rsid w:val="0EAF329C"/>
    <w:rsid w:val="0F5D7EF1"/>
    <w:rsid w:val="0F651DD3"/>
    <w:rsid w:val="101E49CD"/>
    <w:rsid w:val="10280789"/>
    <w:rsid w:val="109300AF"/>
    <w:rsid w:val="10943D08"/>
    <w:rsid w:val="1107031B"/>
    <w:rsid w:val="114865F0"/>
    <w:rsid w:val="11831D08"/>
    <w:rsid w:val="11895257"/>
    <w:rsid w:val="123211CE"/>
    <w:rsid w:val="12887DE1"/>
    <w:rsid w:val="12BC78AF"/>
    <w:rsid w:val="134A0210"/>
    <w:rsid w:val="13A525EC"/>
    <w:rsid w:val="13B555C5"/>
    <w:rsid w:val="13CC1D73"/>
    <w:rsid w:val="13CC637F"/>
    <w:rsid w:val="16AE18BE"/>
    <w:rsid w:val="16BC2207"/>
    <w:rsid w:val="16D97184"/>
    <w:rsid w:val="17603E20"/>
    <w:rsid w:val="17E33AA6"/>
    <w:rsid w:val="17F44F65"/>
    <w:rsid w:val="18973432"/>
    <w:rsid w:val="18BD24E2"/>
    <w:rsid w:val="18DA1CDD"/>
    <w:rsid w:val="193A38BC"/>
    <w:rsid w:val="19470694"/>
    <w:rsid w:val="1A6745A4"/>
    <w:rsid w:val="1A885402"/>
    <w:rsid w:val="1B61297E"/>
    <w:rsid w:val="1C266ADC"/>
    <w:rsid w:val="1C3A430F"/>
    <w:rsid w:val="1C532C5E"/>
    <w:rsid w:val="1CC72BDE"/>
    <w:rsid w:val="1D6C2514"/>
    <w:rsid w:val="1D82200D"/>
    <w:rsid w:val="1DBC67A0"/>
    <w:rsid w:val="1ECE4BF1"/>
    <w:rsid w:val="1F33472F"/>
    <w:rsid w:val="1F483A74"/>
    <w:rsid w:val="1F682536"/>
    <w:rsid w:val="1FF65C31"/>
    <w:rsid w:val="20B81D76"/>
    <w:rsid w:val="20E97375"/>
    <w:rsid w:val="210653E9"/>
    <w:rsid w:val="21723F5A"/>
    <w:rsid w:val="218179DC"/>
    <w:rsid w:val="21B575B5"/>
    <w:rsid w:val="21C27122"/>
    <w:rsid w:val="22175F45"/>
    <w:rsid w:val="22863DFC"/>
    <w:rsid w:val="229E61D0"/>
    <w:rsid w:val="22AF3171"/>
    <w:rsid w:val="22D844C0"/>
    <w:rsid w:val="23672E1B"/>
    <w:rsid w:val="236B529C"/>
    <w:rsid w:val="238C2746"/>
    <w:rsid w:val="242A0B1C"/>
    <w:rsid w:val="244E5B0F"/>
    <w:rsid w:val="255179C9"/>
    <w:rsid w:val="25D16D75"/>
    <w:rsid w:val="261114E1"/>
    <w:rsid w:val="261E1205"/>
    <w:rsid w:val="26680B8C"/>
    <w:rsid w:val="26837027"/>
    <w:rsid w:val="268A618F"/>
    <w:rsid w:val="28462F49"/>
    <w:rsid w:val="28724840"/>
    <w:rsid w:val="28867264"/>
    <w:rsid w:val="288D7BB0"/>
    <w:rsid w:val="28CD19BD"/>
    <w:rsid w:val="28DC615D"/>
    <w:rsid w:val="29982ECD"/>
    <w:rsid w:val="29F4217C"/>
    <w:rsid w:val="2A8D4201"/>
    <w:rsid w:val="2AE245B9"/>
    <w:rsid w:val="2BBD4024"/>
    <w:rsid w:val="2CA6126B"/>
    <w:rsid w:val="2CE414E1"/>
    <w:rsid w:val="2CF972DD"/>
    <w:rsid w:val="2D9C5EBB"/>
    <w:rsid w:val="2DC810BF"/>
    <w:rsid w:val="2DEC583C"/>
    <w:rsid w:val="2E2C69E4"/>
    <w:rsid w:val="2E692241"/>
    <w:rsid w:val="2EA555A0"/>
    <w:rsid w:val="2EC13E2B"/>
    <w:rsid w:val="30D05BD1"/>
    <w:rsid w:val="30EB1633"/>
    <w:rsid w:val="32594346"/>
    <w:rsid w:val="32787301"/>
    <w:rsid w:val="32B81719"/>
    <w:rsid w:val="32FB2494"/>
    <w:rsid w:val="334B67E9"/>
    <w:rsid w:val="347E456C"/>
    <w:rsid w:val="34BF705E"/>
    <w:rsid w:val="34D94D83"/>
    <w:rsid w:val="34DD0FD0"/>
    <w:rsid w:val="34DE5CD2"/>
    <w:rsid w:val="34FB0599"/>
    <w:rsid w:val="35441C7F"/>
    <w:rsid w:val="35AE5B54"/>
    <w:rsid w:val="35EB3E83"/>
    <w:rsid w:val="366D4B11"/>
    <w:rsid w:val="36C27204"/>
    <w:rsid w:val="36D540DA"/>
    <w:rsid w:val="373D070E"/>
    <w:rsid w:val="3751659F"/>
    <w:rsid w:val="37D60D5D"/>
    <w:rsid w:val="384D5E1B"/>
    <w:rsid w:val="39E554B0"/>
    <w:rsid w:val="3A59585F"/>
    <w:rsid w:val="3ABB02C8"/>
    <w:rsid w:val="3AEF50CA"/>
    <w:rsid w:val="3AFE3839"/>
    <w:rsid w:val="3B294BF6"/>
    <w:rsid w:val="3B3C4BC5"/>
    <w:rsid w:val="3C17121F"/>
    <w:rsid w:val="3CBE7DA9"/>
    <w:rsid w:val="3D5C7B79"/>
    <w:rsid w:val="3D932E36"/>
    <w:rsid w:val="3E870A7F"/>
    <w:rsid w:val="3F1C3C5D"/>
    <w:rsid w:val="3F6F51DD"/>
    <w:rsid w:val="3F9B4224"/>
    <w:rsid w:val="3F9C0A07"/>
    <w:rsid w:val="401F56A3"/>
    <w:rsid w:val="403C524D"/>
    <w:rsid w:val="404847A9"/>
    <w:rsid w:val="40556AC9"/>
    <w:rsid w:val="409B3CAE"/>
    <w:rsid w:val="41AC44C7"/>
    <w:rsid w:val="42A33A56"/>
    <w:rsid w:val="43056584"/>
    <w:rsid w:val="430C0540"/>
    <w:rsid w:val="43234C5C"/>
    <w:rsid w:val="435B78E4"/>
    <w:rsid w:val="440C32DB"/>
    <w:rsid w:val="44A1408B"/>
    <w:rsid w:val="45E76415"/>
    <w:rsid w:val="46CB1B4F"/>
    <w:rsid w:val="470A19DC"/>
    <w:rsid w:val="47830611"/>
    <w:rsid w:val="478967D3"/>
    <w:rsid w:val="47983486"/>
    <w:rsid w:val="47CC5CDD"/>
    <w:rsid w:val="48A40CC7"/>
    <w:rsid w:val="492F51C1"/>
    <w:rsid w:val="499C7FF5"/>
    <w:rsid w:val="49E862B8"/>
    <w:rsid w:val="4AE1026B"/>
    <w:rsid w:val="4AF0688F"/>
    <w:rsid w:val="4B447E66"/>
    <w:rsid w:val="4BA91A77"/>
    <w:rsid w:val="4BD62F9E"/>
    <w:rsid w:val="4CAC5CC3"/>
    <w:rsid w:val="4DAE2A5F"/>
    <w:rsid w:val="4E1E674C"/>
    <w:rsid w:val="4E270CF7"/>
    <w:rsid w:val="4E697E70"/>
    <w:rsid w:val="4E8A47C0"/>
    <w:rsid w:val="4EEE25C2"/>
    <w:rsid w:val="4EF54406"/>
    <w:rsid w:val="4F2D698F"/>
    <w:rsid w:val="4FCC4ADD"/>
    <w:rsid w:val="506C58C5"/>
    <w:rsid w:val="509022DF"/>
    <w:rsid w:val="51402433"/>
    <w:rsid w:val="519D3E2C"/>
    <w:rsid w:val="51E27A91"/>
    <w:rsid w:val="52326C6A"/>
    <w:rsid w:val="5236310B"/>
    <w:rsid w:val="52F00F15"/>
    <w:rsid w:val="52FC3E16"/>
    <w:rsid w:val="532B2D33"/>
    <w:rsid w:val="533D7674"/>
    <w:rsid w:val="54106B37"/>
    <w:rsid w:val="546919EB"/>
    <w:rsid w:val="54751090"/>
    <w:rsid w:val="5495225A"/>
    <w:rsid w:val="54BF3612"/>
    <w:rsid w:val="54D62E6F"/>
    <w:rsid w:val="54DF2FBC"/>
    <w:rsid w:val="56892BD1"/>
    <w:rsid w:val="568E234C"/>
    <w:rsid w:val="56D57537"/>
    <w:rsid w:val="575F517A"/>
    <w:rsid w:val="57D55C56"/>
    <w:rsid w:val="57F46328"/>
    <w:rsid w:val="585A415D"/>
    <w:rsid w:val="58942EE1"/>
    <w:rsid w:val="594A0E70"/>
    <w:rsid w:val="59FF6E99"/>
    <w:rsid w:val="5A833D56"/>
    <w:rsid w:val="5B0B465A"/>
    <w:rsid w:val="5B0D7A65"/>
    <w:rsid w:val="5B1E422F"/>
    <w:rsid w:val="5B463785"/>
    <w:rsid w:val="5C5E485E"/>
    <w:rsid w:val="5C9B0F32"/>
    <w:rsid w:val="5CA9472C"/>
    <w:rsid w:val="5CB217C4"/>
    <w:rsid w:val="5D4D64AC"/>
    <w:rsid w:val="5E2772FC"/>
    <w:rsid w:val="5F8B729B"/>
    <w:rsid w:val="5FD6672E"/>
    <w:rsid w:val="5FE1582B"/>
    <w:rsid w:val="60215D3E"/>
    <w:rsid w:val="60786190"/>
    <w:rsid w:val="607A5472"/>
    <w:rsid w:val="607A5EF3"/>
    <w:rsid w:val="60C363E5"/>
    <w:rsid w:val="623B18FA"/>
    <w:rsid w:val="6269306D"/>
    <w:rsid w:val="62B62F9F"/>
    <w:rsid w:val="62F60EE3"/>
    <w:rsid w:val="63035B32"/>
    <w:rsid w:val="635A56BB"/>
    <w:rsid w:val="639C3E20"/>
    <w:rsid w:val="63DA0F0F"/>
    <w:rsid w:val="64610CE9"/>
    <w:rsid w:val="64636121"/>
    <w:rsid w:val="647A47C2"/>
    <w:rsid w:val="64A74C88"/>
    <w:rsid w:val="651641C9"/>
    <w:rsid w:val="651D4D48"/>
    <w:rsid w:val="65597459"/>
    <w:rsid w:val="65842EE1"/>
    <w:rsid w:val="659A1083"/>
    <w:rsid w:val="65AF45CC"/>
    <w:rsid w:val="674B3076"/>
    <w:rsid w:val="682A203F"/>
    <w:rsid w:val="684C473D"/>
    <w:rsid w:val="685E210F"/>
    <w:rsid w:val="68706575"/>
    <w:rsid w:val="68E141E9"/>
    <w:rsid w:val="693C52C5"/>
    <w:rsid w:val="698F00A6"/>
    <w:rsid w:val="69986762"/>
    <w:rsid w:val="69D00DEB"/>
    <w:rsid w:val="69F208E8"/>
    <w:rsid w:val="6AD772E9"/>
    <w:rsid w:val="6BB9645C"/>
    <w:rsid w:val="6DAF6EDE"/>
    <w:rsid w:val="6E103C24"/>
    <w:rsid w:val="6EDD3662"/>
    <w:rsid w:val="6EE74A0D"/>
    <w:rsid w:val="6F5916C5"/>
    <w:rsid w:val="6F674E0E"/>
    <w:rsid w:val="6F8B40D3"/>
    <w:rsid w:val="6F9735B3"/>
    <w:rsid w:val="700B04EE"/>
    <w:rsid w:val="700F1E05"/>
    <w:rsid w:val="701E2B39"/>
    <w:rsid w:val="703A6C95"/>
    <w:rsid w:val="70425469"/>
    <w:rsid w:val="70AF015F"/>
    <w:rsid w:val="710C2D7D"/>
    <w:rsid w:val="71121CE9"/>
    <w:rsid w:val="71170479"/>
    <w:rsid w:val="71B216C2"/>
    <w:rsid w:val="729624A5"/>
    <w:rsid w:val="72D54D7C"/>
    <w:rsid w:val="735824AA"/>
    <w:rsid w:val="73A47B48"/>
    <w:rsid w:val="768E2ED5"/>
    <w:rsid w:val="7697610D"/>
    <w:rsid w:val="775F50E6"/>
    <w:rsid w:val="785D1D5A"/>
    <w:rsid w:val="78701CE3"/>
    <w:rsid w:val="78B852E8"/>
    <w:rsid w:val="791228E8"/>
    <w:rsid w:val="7ACC42BE"/>
    <w:rsid w:val="7AD3238E"/>
    <w:rsid w:val="7B1623D5"/>
    <w:rsid w:val="7B551111"/>
    <w:rsid w:val="7B664D10"/>
    <w:rsid w:val="7C046C28"/>
    <w:rsid w:val="7C3C73FB"/>
    <w:rsid w:val="7D3C7571"/>
    <w:rsid w:val="7D913F95"/>
    <w:rsid w:val="7DA017BC"/>
    <w:rsid w:val="7DA96DB6"/>
    <w:rsid w:val="7DE93DD1"/>
    <w:rsid w:val="7E082C47"/>
    <w:rsid w:val="7E784276"/>
    <w:rsid w:val="7E951998"/>
    <w:rsid w:val="7F156D37"/>
    <w:rsid w:val="7F5665C3"/>
    <w:rsid w:val="7F8E2BA3"/>
    <w:rsid w:val="7F9A4D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autoRedefine/>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2">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3">
    <w:name w:val="Document Map"/>
    <w:basedOn w:val="1"/>
    <w:autoRedefine/>
    <w:unhideWhenUsed/>
    <w:qFormat/>
    <w:uiPriority w:val="99"/>
    <w:rPr>
      <w:sz w:val="18"/>
      <w:szCs w:val="18"/>
    </w:rPr>
  </w:style>
  <w:style w:type="paragraph" w:styleId="4">
    <w:name w:val="Body Text"/>
    <w:basedOn w:val="1"/>
    <w:autoRedefine/>
    <w:unhideWhenUsed/>
    <w:qFormat/>
    <w:uiPriority w:val="99"/>
  </w:style>
  <w:style w:type="paragraph" w:styleId="5">
    <w:name w:val="Body Text Indent"/>
    <w:basedOn w:val="1"/>
    <w:autoRedefine/>
    <w:qFormat/>
    <w:uiPriority w:val="0"/>
    <w:pPr>
      <w:spacing w:after="120"/>
      <w:ind w:left="420" w:leftChars="200"/>
    </w:pPr>
  </w:style>
  <w:style w:type="paragraph" w:styleId="6">
    <w:name w:val="footer"/>
    <w:basedOn w:val="1"/>
    <w:link w:val="16"/>
    <w:autoRedefine/>
    <w:unhideWhenUsed/>
    <w:qFormat/>
    <w:uiPriority w:val="99"/>
    <w:pPr>
      <w:tabs>
        <w:tab w:val="center" w:pos="4153"/>
        <w:tab w:val="right" w:pos="8306"/>
      </w:tabs>
      <w:snapToGrid w:val="0"/>
      <w:jc w:val="left"/>
    </w:pPr>
    <w:rPr>
      <w:sz w:val="18"/>
      <w:szCs w:val="18"/>
    </w:rPr>
  </w:style>
  <w:style w:type="paragraph" w:styleId="7">
    <w:name w:val="header"/>
    <w:basedOn w:val="1"/>
    <w:link w:val="1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autoRedefine/>
    <w:semiHidden/>
    <w:unhideWhenUsed/>
    <w:qFormat/>
    <w:uiPriority w:val="39"/>
  </w:style>
  <w:style w:type="paragraph" w:styleId="9">
    <w:name w:val="Body Text First Indent 2"/>
    <w:basedOn w:val="5"/>
    <w:autoRedefine/>
    <w:qFormat/>
    <w:uiPriority w:val="0"/>
    <w:pPr>
      <w:ind w:firstLine="420" w:firstLineChars="200"/>
    </w:pPr>
  </w:style>
  <w:style w:type="table" w:styleId="11">
    <w:name w:val="Table Grid"/>
    <w:basedOn w:val="10"/>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autoRedefine/>
    <w:qFormat/>
    <w:uiPriority w:val="0"/>
  </w:style>
  <w:style w:type="character" w:styleId="14">
    <w:name w:val="Hyperlink"/>
    <w:basedOn w:val="12"/>
    <w:autoRedefine/>
    <w:unhideWhenUsed/>
    <w:qFormat/>
    <w:uiPriority w:val="99"/>
    <w:rPr>
      <w:color w:val="0000FF" w:themeColor="hyperlink"/>
      <w:u w:val="single"/>
      <w14:textFill>
        <w14:solidFill>
          <w14:schemeClr w14:val="hlink"/>
        </w14:solidFill>
      </w14:textFill>
    </w:rPr>
  </w:style>
  <w:style w:type="character" w:customStyle="1" w:styleId="15">
    <w:name w:val="页眉 Char"/>
    <w:basedOn w:val="12"/>
    <w:link w:val="7"/>
    <w:autoRedefine/>
    <w:qFormat/>
    <w:uiPriority w:val="99"/>
    <w:rPr>
      <w:sz w:val="18"/>
      <w:szCs w:val="18"/>
    </w:rPr>
  </w:style>
  <w:style w:type="character" w:customStyle="1" w:styleId="16">
    <w:name w:val="页脚 Char"/>
    <w:basedOn w:val="12"/>
    <w:link w:val="6"/>
    <w:autoRedefine/>
    <w:qFormat/>
    <w:uiPriority w:val="99"/>
    <w:rPr>
      <w:sz w:val="18"/>
      <w:szCs w:val="18"/>
    </w:rPr>
  </w:style>
  <w:style w:type="paragraph" w:customStyle="1" w:styleId="17">
    <w:name w:val="正文 New New New New"/>
    <w:autoRedefine/>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customStyle="1" w:styleId="18">
    <w:name w:val="大标题"/>
    <w:basedOn w:val="1"/>
    <w:next w:val="1"/>
    <w:autoRedefine/>
    <w:qFormat/>
    <w:uiPriority w:val="0"/>
    <w:pPr>
      <w:adjustRightInd w:val="0"/>
      <w:snapToGrid w:val="0"/>
      <w:spacing w:line="620" w:lineRule="exact"/>
      <w:jc w:val="center"/>
    </w:pPr>
    <w:rPr>
      <w:rFonts w:hint="eastAsia" w:ascii="方正小标宋简体" w:hAnsi="方正小标宋简体" w:eastAsia="方正小标宋简体" w:cs="Times New Roman"/>
      <w:sz w:val="44"/>
      <w:szCs w:val="44"/>
    </w:rPr>
  </w:style>
  <w:style w:type="paragraph" w:customStyle="1" w:styleId="19">
    <w:name w:val="Default"/>
    <w:autoRedefine/>
    <w:qFormat/>
    <w:uiPriority w:val="0"/>
    <w:pPr>
      <w:widowControl w:val="0"/>
      <w:autoSpaceDE w:val="0"/>
      <w:autoSpaceDN w:val="0"/>
      <w:adjustRightInd w:val="0"/>
    </w:pPr>
    <w:rPr>
      <w:rFonts w:ascii="仿宋_GB2312" w:hAnsi="仿宋_GB2312" w:eastAsia="宋体" w:cs="仿宋_GB2312"/>
      <w:color w:val="000000"/>
      <w:kern w:val="0"/>
      <w:sz w:val="24"/>
      <w:szCs w:val="24"/>
      <w:lang w:val="en-US" w:eastAsia="zh-CN" w:bidi="ar-SA"/>
    </w:rPr>
  </w:style>
  <w:style w:type="character" w:customStyle="1" w:styleId="20">
    <w:name w:val="text-tag"/>
    <w:basedOn w:val="12"/>
    <w:autoRedefine/>
    <w:qFormat/>
    <w:uiPriority w:val="0"/>
  </w:style>
  <w:style w:type="paragraph" w:customStyle="1" w:styleId="21">
    <w:name w:val="Table Text"/>
    <w:basedOn w:val="1"/>
    <w:autoRedefine/>
    <w:semiHidden/>
    <w:qFormat/>
    <w:uiPriority w:val="0"/>
    <w:rPr>
      <w:rFonts w:ascii="宋体" w:hAnsi="宋体" w:eastAsia="宋体" w:cs="宋体"/>
      <w:sz w:val="28"/>
      <w:szCs w:val="28"/>
      <w:lang w:val="en-US" w:eastAsia="en-US" w:bidi="ar-SA"/>
    </w:rPr>
  </w:style>
  <w:style w:type="table" w:customStyle="1" w:styleId="22">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D65A31E-F3B0-4025-A1F5-2DB618C119CB}">
  <ds:schemaRefs/>
</ds:datastoreItem>
</file>

<file path=docProps/app.xml><?xml version="1.0" encoding="utf-8"?>
<Properties xmlns="http://schemas.openxmlformats.org/officeDocument/2006/extended-properties" xmlns:vt="http://schemas.openxmlformats.org/officeDocument/2006/docPropsVTypes">
  <Template>Normal</Template>
  <Pages>6</Pages>
  <Words>2764</Words>
  <Characters>2820</Characters>
  <Lines>35</Lines>
  <Paragraphs>10</Paragraphs>
  <TotalTime>1</TotalTime>
  <ScaleCrop>false</ScaleCrop>
  <LinksUpToDate>false</LinksUpToDate>
  <CharactersWithSpaces>2837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2021-05-19T08:53:00Z</dcterms:created>
  <dc:creator>Windows 用户</dc:creator>
  <cp:lastModifiedBy>卡农</cp:lastModifiedBy>
  <cp:lastPrinted>2023-03-24T07:08:00Z</cp:lastPrinted>
  <dcterms:modified xsi:type="dcterms:W3CDTF">2025-03-05T08:48:31Z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F0C2E45CE8054D71922837055152B975_13</vt:lpwstr>
  </property>
  <property fmtid="{D5CDD505-2E9C-101B-9397-08002B2CF9AE}" pid="4" name="KSOTemplateDocerSaveRecord">
    <vt:lpwstr>eyJoZGlkIjoiZTZkNThjZTFhYmI4N2ExOGI3MjE4ZjFiYjVhMTc0ZWUiLCJ1c2VySWQiOiI1MzMyNjU4NjUifQ==</vt:lpwstr>
  </property>
</Properties>
</file>